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2893EE" w14:textId="4F76C358" w:rsidR="00307DD3" w:rsidRDefault="00307DD3" w:rsidP="00BD37FF">
      <w:pPr>
        <w:spacing w:after="160" w:line="259" w:lineRule="auto"/>
        <w:ind w:firstLine="0"/>
        <w:rPr>
          <w:b/>
        </w:rPr>
      </w:pPr>
      <w:r>
        <w:rPr>
          <w:b/>
        </w:rPr>
        <w:t>Supplemental Tables</w:t>
      </w:r>
    </w:p>
    <w:p w14:paraId="77C70C08" w14:textId="308E169B" w:rsidR="005115C6" w:rsidRPr="005115C6" w:rsidRDefault="005115C6" w:rsidP="00BD37FF">
      <w:pPr>
        <w:spacing w:after="160" w:line="259" w:lineRule="auto"/>
        <w:ind w:firstLine="0"/>
        <w:rPr>
          <w:bCs/>
        </w:rPr>
      </w:pPr>
      <w:r>
        <w:rPr>
          <w:b/>
        </w:rPr>
        <w:t xml:space="preserve">Supplemental Table 1 </w:t>
      </w:r>
      <w:r>
        <w:rPr>
          <w:bCs/>
        </w:rPr>
        <w:t>Sample abundances (read counts), Silva-based taxonomic predictions, and 16S rRNA gene sequences for all ASVs from this study.</w:t>
      </w:r>
    </w:p>
    <w:p w14:paraId="62385F55" w14:textId="058BE49C" w:rsidR="00307DD3" w:rsidRDefault="00307DD3" w:rsidP="00BD37FF">
      <w:pPr>
        <w:spacing w:after="160" w:line="259" w:lineRule="auto"/>
        <w:ind w:firstLine="0"/>
        <w:rPr>
          <w:bCs/>
        </w:rPr>
      </w:pPr>
      <w:r>
        <w:rPr>
          <w:b/>
        </w:rPr>
        <w:t xml:space="preserve">Supplemental Table </w:t>
      </w:r>
      <w:r w:rsidR="005115C6">
        <w:rPr>
          <w:b/>
        </w:rPr>
        <w:t>2</w:t>
      </w:r>
      <w:r>
        <w:rPr>
          <w:bCs/>
        </w:rPr>
        <w:t xml:space="preserve"> </w:t>
      </w:r>
      <w:r w:rsidRPr="00307DD3">
        <w:rPr>
          <w:bCs/>
        </w:rPr>
        <w:t xml:space="preserve">Names and statistics for metagenome assembled genomes (MAGs) used in this study. Taxonomic classification is according to GTDB. Abundance is the abundance calculated by </w:t>
      </w:r>
      <w:proofErr w:type="spellStart"/>
      <w:r w:rsidRPr="00307DD3">
        <w:rPr>
          <w:bCs/>
        </w:rPr>
        <w:t>sourmash</w:t>
      </w:r>
      <w:proofErr w:type="spellEnd"/>
      <w:r w:rsidRPr="00307DD3">
        <w:rPr>
          <w:bCs/>
        </w:rPr>
        <w:t>, not a relative abundance. OGT: optimal growth temperature.</w:t>
      </w:r>
    </w:p>
    <w:p w14:paraId="0AD781F5" w14:textId="62CDDEEE" w:rsidR="00307DD3" w:rsidRDefault="00307DD3" w:rsidP="00BD37FF">
      <w:pPr>
        <w:spacing w:after="160" w:line="259" w:lineRule="auto"/>
        <w:ind w:firstLine="0"/>
        <w:rPr>
          <w:bCs/>
        </w:rPr>
      </w:pPr>
      <w:r>
        <w:rPr>
          <w:b/>
        </w:rPr>
        <w:t xml:space="preserve">Supplemental Table </w:t>
      </w:r>
      <w:r w:rsidR="005115C6">
        <w:rPr>
          <w:b/>
        </w:rPr>
        <w:t>3</w:t>
      </w:r>
      <w:r>
        <w:rPr>
          <w:b/>
        </w:rPr>
        <w:t xml:space="preserve"> </w:t>
      </w:r>
      <w:r w:rsidRPr="00307DD3">
        <w:rPr>
          <w:bCs/>
        </w:rPr>
        <w:t>Physicochemical parameters and elemental levels for all soil samples. ND: not detected. BLD: below limit of detection.</w:t>
      </w:r>
    </w:p>
    <w:p w14:paraId="22EB0665" w14:textId="0EEE3B63" w:rsidR="007A3646" w:rsidRDefault="00307DD3" w:rsidP="00BD37FF">
      <w:pPr>
        <w:spacing w:after="160" w:line="259" w:lineRule="auto"/>
        <w:ind w:firstLine="0"/>
        <w:rPr>
          <w:bCs/>
        </w:rPr>
      </w:pPr>
      <w:r>
        <w:rPr>
          <w:b/>
        </w:rPr>
        <w:t xml:space="preserve">Supplemental Table </w:t>
      </w:r>
      <w:r w:rsidR="005115C6">
        <w:rPr>
          <w:b/>
        </w:rPr>
        <w:t>4</w:t>
      </w:r>
      <w:r>
        <w:rPr>
          <w:b/>
        </w:rPr>
        <w:t xml:space="preserve"> </w:t>
      </w:r>
      <w:r>
        <w:rPr>
          <w:bCs/>
        </w:rPr>
        <w:t xml:space="preserve">Functional predictions for metagenome assembled genomes (MAGs) discussed in this study. Numbers given are for the number of hits for that marker gene in that </w:t>
      </w:r>
      <w:proofErr w:type="gramStart"/>
      <w:r>
        <w:rPr>
          <w:bCs/>
        </w:rPr>
        <w:t>particular MAG</w:t>
      </w:r>
      <w:proofErr w:type="gramEnd"/>
      <w:r>
        <w:rPr>
          <w:bCs/>
        </w:rPr>
        <w:t xml:space="preserve">, based on the output of the METABOLIC program. </w:t>
      </w:r>
      <w:r w:rsidRPr="00307DD3">
        <w:rPr>
          <w:bCs/>
        </w:rPr>
        <w:t>Cells with values above 0 are highlighted in green.</w:t>
      </w:r>
    </w:p>
    <w:p w14:paraId="4E6745B2" w14:textId="77777777" w:rsidR="007A3646" w:rsidRDefault="007A3646">
      <w:pPr>
        <w:spacing w:after="160" w:line="259" w:lineRule="auto"/>
        <w:ind w:firstLine="0"/>
        <w:rPr>
          <w:bCs/>
        </w:rPr>
      </w:pPr>
      <w:r>
        <w:rPr>
          <w:bCs/>
        </w:rPr>
        <w:br w:type="page"/>
      </w:r>
    </w:p>
    <w:p w14:paraId="05D7BE26" w14:textId="1762C4E7" w:rsidR="00E12F44" w:rsidRDefault="00E12F44" w:rsidP="00BD37FF">
      <w:pPr>
        <w:spacing w:after="160" w:line="259" w:lineRule="auto"/>
        <w:ind w:firstLine="0"/>
      </w:pPr>
      <w:r>
        <w:rPr>
          <w:b/>
        </w:rPr>
        <w:lastRenderedPageBreak/>
        <w:t>Supplemental Figures</w:t>
      </w:r>
    </w:p>
    <w:p w14:paraId="40A67193" w14:textId="77777777" w:rsidR="00E12F44" w:rsidRDefault="00E12F44" w:rsidP="00E12F44">
      <w:pPr>
        <w:ind w:firstLine="0"/>
        <w:jc w:val="center"/>
        <w:rPr>
          <w:b/>
        </w:rPr>
      </w:pPr>
      <w:r>
        <w:rPr>
          <w:b/>
          <w:noProof/>
        </w:rPr>
        <w:drawing>
          <wp:inline distT="0" distB="0" distL="0" distR="0" wp14:anchorId="3E1D59BE" wp14:editId="0708B3EE">
            <wp:extent cx="5836772" cy="58367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S1_seq_run_com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42419" cy="5842419"/>
                    </a:xfrm>
                    <a:prstGeom prst="rect">
                      <a:avLst/>
                    </a:prstGeom>
                  </pic:spPr>
                </pic:pic>
              </a:graphicData>
            </a:graphic>
          </wp:inline>
        </w:drawing>
      </w:r>
    </w:p>
    <w:p w14:paraId="4C5FEFF7" w14:textId="62CD3BEB" w:rsidR="003257CA" w:rsidRDefault="00E12F44" w:rsidP="00634DB1">
      <w:pPr>
        <w:ind w:firstLine="0"/>
      </w:pPr>
      <w:r>
        <w:rPr>
          <w:b/>
        </w:rPr>
        <w:t xml:space="preserve">Supplemental Figure 1 </w:t>
      </w:r>
      <w:r w:rsidR="0005582C">
        <w:t>Principal Coordinates Analysis (</w:t>
      </w:r>
      <w:proofErr w:type="spellStart"/>
      <w:r w:rsidR="0005582C">
        <w:t>PCoA</w:t>
      </w:r>
      <w:proofErr w:type="spellEnd"/>
      <w:r w:rsidR="0005582C">
        <w:t>) comparing the microbial communities (</w:t>
      </w:r>
      <w:proofErr w:type="spellStart"/>
      <w:r w:rsidR="0005582C">
        <w:t>center</w:t>
      </w:r>
      <w:proofErr w:type="spellEnd"/>
      <w:r w:rsidR="0005582C">
        <w:t>-log ratio transformed) in all Erebus samples between the two distinct sequencing runs</w:t>
      </w:r>
      <w:r w:rsidR="00CB2552">
        <w:t>. Black lines show the distance between the same samples on different sequencing runs.</w:t>
      </w:r>
    </w:p>
    <w:p w14:paraId="76809FC0" w14:textId="77777777" w:rsidR="003257CA" w:rsidRDefault="003257CA">
      <w:pPr>
        <w:spacing w:after="160" w:line="259" w:lineRule="auto"/>
        <w:ind w:firstLine="0"/>
      </w:pPr>
      <w:r>
        <w:br w:type="page"/>
      </w:r>
    </w:p>
    <w:p w14:paraId="3F7D92D8" w14:textId="77777777" w:rsidR="003257CA" w:rsidRDefault="003257CA" w:rsidP="003257CA">
      <w:pPr>
        <w:ind w:firstLine="0"/>
        <w:rPr>
          <w:noProof/>
          <w:szCs w:val="24"/>
        </w:rPr>
      </w:pPr>
      <w:r>
        <w:rPr>
          <w:noProof/>
          <w:szCs w:val="24"/>
        </w:rPr>
        <w:lastRenderedPageBreak/>
        <w:drawing>
          <wp:inline distT="0" distB="0" distL="0" distR="0" wp14:anchorId="2BDEB1E4" wp14:editId="195B4D06">
            <wp:extent cx="6645910" cy="7284085"/>
            <wp:effectExtent l="0" t="0" r="2540" b="0"/>
            <wp:docPr id="1020270727" name="Picture 1020270727"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0727" name="Picture 1020270727" descr="A graph of a number of data&#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7284085"/>
                    </a:xfrm>
                    <a:prstGeom prst="rect">
                      <a:avLst/>
                    </a:prstGeom>
                  </pic:spPr>
                </pic:pic>
              </a:graphicData>
            </a:graphic>
          </wp:inline>
        </w:drawing>
      </w:r>
    </w:p>
    <w:p w14:paraId="4F773951" w14:textId="09A99F6E" w:rsidR="003257CA" w:rsidRPr="00727423" w:rsidRDefault="003257CA" w:rsidP="003257CA">
      <w:pPr>
        <w:ind w:firstLine="0"/>
        <w:rPr>
          <w:noProof/>
          <w:szCs w:val="24"/>
        </w:rPr>
      </w:pPr>
      <w:r>
        <w:rPr>
          <w:b/>
          <w:bCs/>
          <w:noProof/>
          <w:szCs w:val="24"/>
        </w:rPr>
        <w:t xml:space="preserve">Supplemental Figure 2 </w:t>
      </w:r>
      <w:r>
        <w:rPr>
          <w:noProof/>
          <w:szCs w:val="24"/>
        </w:rPr>
        <w:t>(A) Rarefaction curves for all 16S rRNA gene sequencing samples. (B) Nonpareil curves for all metagenome samples, where the solid lines indicate actual sequencing effort and the dotted lines indicate optimal sequencing effort needed to reach full sequencing depth.</w:t>
      </w:r>
    </w:p>
    <w:p w14:paraId="1785AF39" w14:textId="77777777" w:rsidR="001D7C4B" w:rsidRDefault="001D7C4B">
      <w:pPr>
        <w:spacing w:after="160" w:line="259" w:lineRule="auto"/>
        <w:ind w:firstLine="0"/>
      </w:pPr>
      <w:r>
        <w:br w:type="page"/>
      </w:r>
    </w:p>
    <w:p w14:paraId="7E9FE509" w14:textId="77777777" w:rsidR="00E12F44" w:rsidRDefault="001D7C4B" w:rsidP="00634DB1">
      <w:pPr>
        <w:ind w:firstLine="0"/>
      </w:pPr>
      <w:r>
        <w:rPr>
          <w:noProof/>
        </w:rPr>
        <w:lastRenderedPageBreak/>
        <w:drawing>
          <wp:inline distT="0" distB="0" distL="0" distR="0" wp14:anchorId="73EB6622" wp14:editId="28BA1ACB">
            <wp:extent cx="66459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ndograms_bot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2811145"/>
                    </a:xfrm>
                    <a:prstGeom prst="rect">
                      <a:avLst/>
                    </a:prstGeom>
                  </pic:spPr>
                </pic:pic>
              </a:graphicData>
            </a:graphic>
          </wp:inline>
        </w:drawing>
      </w:r>
    </w:p>
    <w:p w14:paraId="62B41AE0" w14:textId="00777B64" w:rsidR="00B1722C" w:rsidRDefault="001D7C4B" w:rsidP="00634DB1">
      <w:pPr>
        <w:ind w:firstLine="0"/>
      </w:pPr>
      <w:r>
        <w:rPr>
          <w:b/>
        </w:rPr>
        <w:t xml:space="preserve">Supplemental Figure </w:t>
      </w:r>
      <w:r w:rsidR="003257CA">
        <w:rPr>
          <w:b/>
        </w:rPr>
        <w:t>3</w:t>
      </w:r>
      <w:r>
        <w:rPr>
          <w:b/>
        </w:rPr>
        <w:t xml:space="preserve"> </w:t>
      </w:r>
      <w:r>
        <w:rPr>
          <w:szCs w:val="24"/>
        </w:rPr>
        <w:t xml:space="preserve">Heatmaps and dendrograms showing relative abundance of the phyla (A) or classes (B) within each </w:t>
      </w:r>
      <w:r w:rsidR="00C95283">
        <w:rPr>
          <w:szCs w:val="24"/>
        </w:rPr>
        <w:t xml:space="preserve">16S rRNA gene sequencing </w:t>
      </w:r>
      <w:r>
        <w:rPr>
          <w:szCs w:val="24"/>
        </w:rPr>
        <w:t xml:space="preserve">sample that had a relative abundance above 2% in at least one sample. The dendrograms do not imply an taxonomic relationship between organisms in the heatmap, only similarity in abundance patterns. </w:t>
      </w:r>
      <w:r>
        <w:br w:type="page"/>
      </w:r>
    </w:p>
    <w:p w14:paraId="2C0B61E3" w14:textId="7F86EBFC" w:rsidR="00164EF6" w:rsidRDefault="00164EF6" w:rsidP="00164EF6">
      <w:pPr>
        <w:ind w:firstLine="0"/>
        <w:rPr>
          <w:szCs w:val="24"/>
        </w:rPr>
      </w:pPr>
      <w:r>
        <w:rPr>
          <w:noProof/>
          <w:szCs w:val="24"/>
        </w:rPr>
        <w:lastRenderedPageBreak/>
        <w:drawing>
          <wp:inline distT="0" distB="0" distL="0" distR="0" wp14:anchorId="76182FEF" wp14:editId="3AB43691">
            <wp:extent cx="5866637" cy="977773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6637" cy="9777730"/>
                    </a:xfrm>
                    <a:prstGeom prst="rect">
                      <a:avLst/>
                    </a:prstGeom>
                  </pic:spPr>
                </pic:pic>
              </a:graphicData>
            </a:graphic>
          </wp:inline>
        </w:drawing>
      </w:r>
    </w:p>
    <w:p w14:paraId="2EEA7F29" w14:textId="65DBF8A6" w:rsidR="0001494D" w:rsidRDefault="00153E2E" w:rsidP="00634DB1">
      <w:pPr>
        <w:ind w:firstLine="0"/>
        <w:rPr>
          <w:noProof/>
        </w:rPr>
      </w:pPr>
      <w:r>
        <w:rPr>
          <w:b/>
          <w:bCs/>
        </w:rPr>
        <w:lastRenderedPageBreak/>
        <w:t xml:space="preserve">Supplemental Figure </w:t>
      </w:r>
      <w:r w:rsidR="003257CA">
        <w:rPr>
          <w:b/>
          <w:bCs/>
        </w:rPr>
        <w:t>4</w:t>
      </w:r>
      <w:r>
        <w:rPr>
          <w:b/>
          <w:bCs/>
        </w:rPr>
        <w:t xml:space="preserve"> </w:t>
      </w:r>
      <w:r>
        <w:t xml:space="preserve">Heatmap of the abundance of metagenome assembled genomes (MAGs) from the four sites. MAGs were first defined as present/absent at a site based on </w:t>
      </w:r>
      <w:proofErr w:type="spellStart"/>
      <w:r>
        <w:t>sourmash</w:t>
      </w:r>
      <w:proofErr w:type="spellEnd"/>
      <w:r>
        <w:t xml:space="preserve"> containment scores from that site; the abundance of MAGs that were absent from a site were set to 0.0001 for ease of visualization and the log</w:t>
      </w:r>
      <w:r>
        <w:rPr>
          <w:vertAlign w:val="subscript"/>
        </w:rPr>
        <w:t>10</w:t>
      </w:r>
      <w:r>
        <w:t xml:space="preserve"> value of all abundances plotted. The </w:t>
      </w:r>
      <w:proofErr w:type="spellStart"/>
      <w:r>
        <w:t>dendograms</w:t>
      </w:r>
      <w:proofErr w:type="spellEnd"/>
      <w:r>
        <w:t xml:space="preserve"> do not imply taxonomic similarity between MAGs, only similarity in abundance profiles. The site that a MAG was </w:t>
      </w:r>
      <w:proofErr w:type="spellStart"/>
      <w:r>
        <w:t>binned</w:t>
      </w:r>
      <w:proofErr w:type="spellEnd"/>
      <w:r>
        <w:t xml:space="preserve"> from is given at the beginning of the MAG identifier; GTDB taxonomic information is given down to Order where available.</w:t>
      </w:r>
      <w:r w:rsidR="00502BCE" w:rsidRPr="00502BCE">
        <w:rPr>
          <w:noProof/>
        </w:rPr>
        <w:t xml:space="preserve"> </w:t>
      </w:r>
    </w:p>
    <w:p w14:paraId="17D851DF" w14:textId="77777777" w:rsidR="0001494D" w:rsidRDefault="0001494D">
      <w:pPr>
        <w:spacing w:after="160" w:line="259" w:lineRule="auto"/>
        <w:ind w:firstLine="0"/>
        <w:rPr>
          <w:noProof/>
        </w:rPr>
      </w:pPr>
      <w:r>
        <w:rPr>
          <w:noProof/>
        </w:rPr>
        <w:br w:type="page"/>
      </w:r>
    </w:p>
    <w:p w14:paraId="4CD38239" w14:textId="112DB481" w:rsidR="00502BCE" w:rsidRDefault="00450F1C" w:rsidP="00C67738">
      <w:pPr>
        <w:ind w:firstLine="0"/>
        <w:jc w:val="center"/>
        <w:rPr>
          <w:noProof/>
        </w:rPr>
      </w:pPr>
      <w:r>
        <w:rPr>
          <w:noProof/>
        </w:rPr>
        <w:lastRenderedPageBreak/>
        <w:drawing>
          <wp:inline distT="0" distB="0" distL="0" distR="0" wp14:anchorId="061F80B3" wp14:editId="71601630">
            <wp:extent cx="6645910" cy="4012565"/>
            <wp:effectExtent l="0" t="0" r="2540" b="6985"/>
            <wp:docPr id="1458482724" name="Picture 1" descr="A group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2724" name="Picture 1" descr="A group of colored box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4012565"/>
                    </a:xfrm>
                    <a:prstGeom prst="rect">
                      <a:avLst/>
                    </a:prstGeom>
                  </pic:spPr>
                </pic:pic>
              </a:graphicData>
            </a:graphic>
          </wp:inline>
        </w:drawing>
      </w:r>
    </w:p>
    <w:p w14:paraId="508535C5" w14:textId="109E7BE7" w:rsidR="0001494D" w:rsidRPr="00C67738" w:rsidRDefault="0001494D" w:rsidP="00634DB1">
      <w:pPr>
        <w:ind w:firstLine="0"/>
        <w:rPr>
          <w:noProof/>
        </w:rPr>
      </w:pPr>
      <w:r>
        <w:rPr>
          <w:b/>
          <w:bCs/>
          <w:noProof/>
        </w:rPr>
        <w:t xml:space="preserve">Supplemental Figure </w:t>
      </w:r>
      <w:r w:rsidR="003257CA">
        <w:rPr>
          <w:b/>
          <w:bCs/>
          <w:noProof/>
        </w:rPr>
        <w:t>5</w:t>
      </w:r>
      <w:r>
        <w:rPr>
          <w:noProof/>
        </w:rPr>
        <w:t xml:space="preserve"> (A, B) Comparison of genome characteristics for metagenome assembled genomes (MAGs) binned from the four sites, either (A) grouped by site type (active vs. passive) or (B) all compared to each other. </w:t>
      </w:r>
      <w:r w:rsidR="006B1EA5">
        <w:rPr>
          <w:noProof/>
        </w:rPr>
        <w:t xml:space="preserve">(C) Comparison of the predicted optimal growth temperature (OGT) of MAGs from either </w:t>
      </w:r>
      <w:r w:rsidR="004A1E7F">
        <w:rPr>
          <w:noProof/>
        </w:rPr>
        <w:t xml:space="preserve">the </w:t>
      </w:r>
      <w:r w:rsidR="006B1EA5">
        <w:rPr>
          <w:noProof/>
        </w:rPr>
        <w:t>Rittmann or the Rittmann mat</w:t>
      </w:r>
      <w:r w:rsidR="00D50461">
        <w:rPr>
          <w:noProof/>
        </w:rPr>
        <w:t xml:space="preserve"> (RittMat)</w:t>
      </w:r>
      <w:r w:rsidR="006B1EA5">
        <w:rPr>
          <w:noProof/>
        </w:rPr>
        <w:t xml:space="preserve"> sample. In (A, C), </w:t>
      </w:r>
      <w:r w:rsidR="006B1EA5" w:rsidRPr="00071A9C">
        <w:rPr>
          <w:i/>
          <w:iCs/>
          <w:noProof/>
        </w:rPr>
        <w:t>p</w:t>
      </w:r>
      <w:r w:rsidR="006B1EA5">
        <w:rPr>
          <w:noProof/>
        </w:rPr>
        <w:t xml:space="preserve">-values given are the result of a two-sided </w:t>
      </w:r>
      <w:r w:rsidR="006B1EA5" w:rsidRPr="0001494D">
        <w:rPr>
          <w:noProof/>
        </w:rPr>
        <w:t>Wilcoxon signed-rank test</w:t>
      </w:r>
      <w:r w:rsidR="006B1EA5">
        <w:rPr>
          <w:noProof/>
        </w:rPr>
        <w:t xml:space="preserve"> comparing group means.</w:t>
      </w:r>
      <w:r w:rsidR="00C67738">
        <w:rPr>
          <w:noProof/>
        </w:rPr>
        <w:t xml:space="preserve"> </w:t>
      </w:r>
    </w:p>
    <w:p w14:paraId="799B5B5A" w14:textId="77777777" w:rsidR="00502BCE" w:rsidRDefault="00502BCE">
      <w:pPr>
        <w:spacing w:after="160" w:line="259" w:lineRule="auto"/>
        <w:ind w:firstLine="0"/>
        <w:rPr>
          <w:noProof/>
        </w:rPr>
      </w:pPr>
      <w:r>
        <w:rPr>
          <w:noProof/>
        </w:rPr>
        <w:br w:type="page"/>
      </w:r>
    </w:p>
    <w:p w14:paraId="3277EF1F" w14:textId="762BB39B" w:rsidR="00B1722C" w:rsidRDefault="00502BCE" w:rsidP="00634DB1">
      <w:pPr>
        <w:ind w:firstLine="0"/>
      </w:pPr>
      <w:r>
        <w:rPr>
          <w:noProof/>
        </w:rPr>
        <w:lastRenderedPageBreak/>
        <w:drawing>
          <wp:inline distT="0" distB="0" distL="0" distR="0" wp14:anchorId="0C2B99C4" wp14:editId="1E17BCF6">
            <wp:extent cx="6645910" cy="6645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6B15AD99" w14:textId="2D4A516B" w:rsidR="007641D3" w:rsidRDefault="00502BCE" w:rsidP="00634DB1">
      <w:pPr>
        <w:ind w:firstLine="0"/>
        <w:rPr>
          <w:noProof/>
          <w:szCs w:val="24"/>
        </w:rPr>
      </w:pPr>
      <w:r>
        <w:rPr>
          <w:b/>
        </w:rPr>
        <w:t xml:space="preserve">Supplemental Figure </w:t>
      </w:r>
      <w:r w:rsidR="003257CA">
        <w:rPr>
          <w:b/>
        </w:rPr>
        <w:t>6</w:t>
      </w:r>
      <w:r>
        <w:rPr>
          <w:b/>
        </w:rPr>
        <w:t xml:space="preserve"> </w:t>
      </w:r>
      <w:r>
        <w:rPr>
          <w:szCs w:val="24"/>
        </w:rPr>
        <w:t>Physicochemical characterization of the four sites reveals parameters that are correlated with the microbial community present. (A) Principal Coordinates analysis (</w:t>
      </w:r>
      <w:proofErr w:type="spellStart"/>
      <w:r>
        <w:rPr>
          <w:szCs w:val="24"/>
        </w:rPr>
        <w:t>PCoA</w:t>
      </w:r>
      <w:proofErr w:type="spellEnd"/>
      <w:r>
        <w:rPr>
          <w:szCs w:val="24"/>
        </w:rPr>
        <w:t xml:space="preserve">) of all </w:t>
      </w:r>
      <w:r w:rsidR="00531C73">
        <w:rPr>
          <w:szCs w:val="24"/>
        </w:rPr>
        <w:t>physicochemical</w:t>
      </w:r>
      <w:r>
        <w:rPr>
          <w:szCs w:val="24"/>
        </w:rPr>
        <w:t xml:space="preserve"> parameters (elemental and other) for each sample, using Euclidian distances.</w:t>
      </w:r>
      <w:r w:rsidR="00531C73">
        <w:rPr>
          <w:szCs w:val="24"/>
        </w:rPr>
        <w:t xml:space="preserve"> (B) </w:t>
      </w:r>
      <w:proofErr w:type="spellStart"/>
      <w:r w:rsidR="00531C73">
        <w:rPr>
          <w:szCs w:val="24"/>
        </w:rPr>
        <w:t>PCoA</w:t>
      </w:r>
      <w:proofErr w:type="spellEnd"/>
      <w:r w:rsidR="00531C73">
        <w:rPr>
          <w:szCs w:val="24"/>
        </w:rPr>
        <w:t xml:space="preserve"> of </w:t>
      </w:r>
      <w:r>
        <w:rPr>
          <w:szCs w:val="24"/>
        </w:rPr>
        <w:t xml:space="preserve"> </w:t>
      </w:r>
      <w:r w:rsidR="00531C73">
        <w:rPr>
          <w:szCs w:val="24"/>
        </w:rPr>
        <w:t xml:space="preserve">physicochemical parameters excluding elemental data. </w:t>
      </w:r>
      <w:r>
        <w:rPr>
          <w:szCs w:val="24"/>
        </w:rPr>
        <w:t>(</w:t>
      </w:r>
      <w:r w:rsidR="00531C73">
        <w:rPr>
          <w:szCs w:val="24"/>
        </w:rPr>
        <w:t>C</w:t>
      </w:r>
      <w:r>
        <w:rPr>
          <w:szCs w:val="24"/>
        </w:rPr>
        <w:t>) Distance based redundancy analysis (</w:t>
      </w:r>
      <w:proofErr w:type="spellStart"/>
      <w:r>
        <w:rPr>
          <w:szCs w:val="24"/>
        </w:rPr>
        <w:t>dbRDA</w:t>
      </w:r>
      <w:proofErr w:type="spellEnd"/>
      <w:r>
        <w:rPr>
          <w:szCs w:val="24"/>
        </w:rPr>
        <w:t xml:space="preserve">) showing the directionality of correlations between physicochemical parameters and the microbial communities present. Only parameters that were significantly correlated (Mantel test, </w:t>
      </w:r>
      <w:proofErr w:type="spellStart"/>
      <w:r>
        <w:rPr>
          <w:szCs w:val="24"/>
        </w:rPr>
        <w:t>pearson’s</w:t>
      </w:r>
      <w:proofErr w:type="spellEnd"/>
      <w:r>
        <w:rPr>
          <w:szCs w:val="24"/>
        </w:rPr>
        <w:t xml:space="preserve"> coefficient, p&lt;0.05) were included.</w:t>
      </w:r>
      <w:r w:rsidR="00531C73">
        <w:rPr>
          <w:szCs w:val="24"/>
        </w:rPr>
        <w:t xml:space="preserve"> Only Mg was still significant after correcting for multiple tests</w:t>
      </w:r>
      <w:r w:rsidR="006B7A43">
        <w:rPr>
          <w:szCs w:val="24"/>
        </w:rPr>
        <w:t xml:space="preserve"> (Benjamini-Hochberg correction)</w:t>
      </w:r>
      <w:r w:rsidR="00531C73">
        <w:rPr>
          <w:szCs w:val="24"/>
        </w:rPr>
        <w:t>.</w:t>
      </w:r>
      <w:r>
        <w:rPr>
          <w:szCs w:val="24"/>
        </w:rPr>
        <w:t xml:space="preserve"> (</w:t>
      </w:r>
      <w:r w:rsidR="00531C73">
        <w:rPr>
          <w:szCs w:val="24"/>
        </w:rPr>
        <w:t>D</w:t>
      </w:r>
      <w:r>
        <w:rPr>
          <w:szCs w:val="24"/>
        </w:rPr>
        <w:t>) Boxplots of basic soil physicochemical properties and elemental levels that were either significantly correlated with the microbial community (as above) or are of biological importance</w:t>
      </w:r>
      <w:r w:rsidR="00531C73">
        <w:rPr>
          <w:szCs w:val="24"/>
        </w:rPr>
        <w:t xml:space="preserve"> (TN, TOC, TON, and S were added for the latter)</w:t>
      </w:r>
      <w:r>
        <w:rPr>
          <w:szCs w:val="24"/>
        </w:rPr>
        <w:t xml:space="preserve">. Letters indicate significant differences between groups </w:t>
      </w:r>
      <w:r>
        <w:rPr>
          <w:szCs w:val="24"/>
        </w:rPr>
        <w:lastRenderedPageBreak/>
        <w:t xml:space="preserve">based on an ANOVA test (p &lt; 0.05); different letters indicate significant differences between those different sites. </w:t>
      </w:r>
      <w:r w:rsidR="00531C73">
        <w:rPr>
          <w:szCs w:val="24"/>
        </w:rPr>
        <w:t xml:space="preserve">Units are as follows: temperature, ℃, conductivity, µS/cm; GWC (gravitational water content), TC (total carbon), TN (total nitrogen), TOC (total organic carbon), TON (total organic nitrogen), all %. All elemental values are given as ppb. </w:t>
      </w:r>
      <w:r>
        <w:rPr>
          <w:szCs w:val="24"/>
        </w:rPr>
        <w:t>TR: Tramway Ridge. WC: Western Crater.</w:t>
      </w:r>
      <w:r w:rsidR="007641D3" w:rsidRPr="007641D3">
        <w:rPr>
          <w:noProof/>
          <w:szCs w:val="24"/>
        </w:rPr>
        <w:t xml:space="preserve"> </w:t>
      </w:r>
    </w:p>
    <w:p w14:paraId="7007CE19" w14:textId="77777777" w:rsidR="007641D3" w:rsidRDefault="007641D3">
      <w:pPr>
        <w:spacing w:after="160" w:line="259" w:lineRule="auto"/>
        <w:ind w:firstLine="0"/>
        <w:rPr>
          <w:noProof/>
          <w:szCs w:val="24"/>
        </w:rPr>
      </w:pPr>
      <w:r>
        <w:rPr>
          <w:noProof/>
          <w:szCs w:val="24"/>
        </w:rPr>
        <w:br w:type="page"/>
      </w:r>
    </w:p>
    <w:p w14:paraId="3C2E5038" w14:textId="765DA26F" w:rsidR="00AC6E65" w:rsidRDefault="00AC6E65" w:rsidP="007641D3">
      <w:pPr>
        <w:ind w:firstLine="0"/>
        <w:rPr>
          <w:szCs w:val="24"/>
        </w:rPr>
      </w:pPr>
    </w:p>
    <w:p w14:paraId="33E490DE" w14:textId="376CB547" w:rsidR="00DD1FD8" w:rsidRDefault="00AC6E65" w:rsidP="00634DB1">
      <w:pPr>
        <w:ind w:firstLine="0"/>
        <w:rPr>
          <w:szCs w:val="24"/>
        </w:rPr>
      </w:pPr>
      <w:r>
        <w:rPr>
          <w:noProof/>
          <w:szCs w:val="24"/>
        </w:rPr>
        <w:drawing>
          <wp:inline distT="0" distB="0" distL="0" distR="0" wp14:anchorId="607331F8" wp14:editId="31AF7199">
            <wp:extent cx="6645910" cy="6732270"/>
            <wp:effectExtent l="0" t="0" r="2540" b="0"/>
            <wp:docPr id="37745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5815" name="Picture 3774558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6732270"/>
                    </a:xfrm>
                    <a:prstGeom prst="rect">
                      <a:avLst/>
                    </a:prstGeom>
                  </pic:spPr>
                </pic:pic>
              </a:graphicData>
            </a:graphic>
          </wp:inline>
        </w:drawing>
      </w:r>
    </w:p>
    <w:p w14:paraId="716ADDFF" w14:textId="72F77625" w:rsidR="007641D3" w:rsidRPr="007641D3" w:rsidRDefault="007641D3" w:rsidP="00634DB1">
      <w:pPr>
        <w:ind w:firstLine="0"/>
      </w:pPr>
      <w:r>
        <w:rPr>
          <w:b/>
          <w:bCs/>
          <w:szCs w:val="24"/>
        </w:rPr>
        <w:t xml:space="preserve">Supplemental </w:t>
      </w:r>
      <w:r w:rsidRPr="003257CA">
        <w:rPr>
          <w:b/>
          <w:bCs/>
        </w:rPr>
        <w:t xml:space="preserve">Figure </w:t>
      </w:r>
      <w:r w:rsidR="003257CA">
        <w:rPr>
          <w:b/>
          <w:bCs/>
        </w:rPr>
        <w:t>7</w:t>
      </w:r>
      <w:r w:rsidRPr="003257CA">
        <w:rPr>
          <w:b/>
          <w:bCs/>
        </w:rPr>
        <w:t xml:space="preserve"> </w:t>
      </w:r>
      <w:r w:rsidR="003257CA" w:rsidRPr="003257CA">
        <w:rPr>
          <w:color w:val="1D1C1D"/>
        </w:rPr>
        <w:t>Functional comparison of Cyanobacterial MAGs as generated by METABOLIC showing (A) only the presence/absence of metabolic pathways and (B) the number of gene hits in the entire genomes. For (A), pathways that were absent from or present in all three Cyanobacteria groups were removed for ease of visualization.</w:t>
      </w:r>
    </w:p>
    <w:p w14:paraId="1779685A" w14:textId="77777777" w:rsidR="00DD1FD8" w:rsidRDefault="00DD1FD8">
      <w:pPr>
        <w:spacing w:after="160" w:line="259" w:lineRule="auto"/>
        <w:ind w:firstLine="0"/>
        <w:rPr>
          <w:szCs w:val="24"/>
        </w:rPr>
      </w:pPr>
      <w:r>
        <w:rPr>
          <w:szCs w:val="24"/>
        </w:rPr>
        <w:br w:type="page"/>
      </w:r>
    </w:p>
    <w:p w14:paraId="56E56ECB" w14:textId="3568E752" w:rsidR="00531C73" w:rsidRDefault="00DD1FD8" w:rsidP="00634DB1">
      <w:pPr>
        <w:ind w:firstLine="0"/>
        <w:rPr>
          <w:noProof/>
          <w:szCs w:val="24"/>
        </w:rPr>
      </w:pPr>
      <w:r>
        <w:rPr>
          <w:noProof/>
          <w:szCs w:val="24"/>
        </w:rPr>
        <w:lastRenderedPageBreak/>
        <w:drawing>
          <wp:inline distT="0" distB="0" distL="0" distR="0" wp14:anchorId="147EF2AF" wp14:editId="29444E6E">
            <wp:extent cx="6645910" cy="6569569"/>
            <wp:effectExtent l="0" t="0" r="2540" b="3175"/>
            <wp:docPr id="63427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7229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6569569"/>
                    </a:xfrm>
                    <a:prstGeom prst="rect">
                      <a:avLst/>
                    </a:prstGeom>
                  </pic:spPr>
                </pic:pic>
              </a:graphicData>
            </a:graphic>
          </wp:inline>
        </w:drawing>
      </w:r>
    </w:p>
    <w:p w14:paraId="210395EB" w14:textId="738DFD88" w:rsidR="00727423" w:rsidRDefault="00DD1FD8" w:rsidP="006E70F7">
      <w:pPr>
        <w:ind w:firstLine="0"/>
        <w:rPr>
          <w:noProof/>
          <w:szCs w:val="24"/>
        </w:rPr>
      </w:pPr>
      <w:r>
        <w:rPr>
          <w:b/>
          <w:bCs/>
          <w:noProof/>
          <w:szCs w:val="24"/>
        </w:rPr>
        <w:t xml:space="preserve">Supplemental Figure </w:t>
      </w:r>
      <w:r w:rsidR="003257CA">
        <w:rPr>
          <w:b/>
          <w:bCs/>
          <w:noProof/>
          <w:szCs w:val="24"/>
        </w:rPr>
        <w:t>8</w:t>
      </w:r>
      <w:r>
        <w:rPr>
          <w:b/>
          <w:bCs/>
          <w:noProof/>
          <w:szCs w:val="24"/>
        </w:rPr>
        <w:t xml:space="preserve"> </w:t>
      </w:r>
      <w:r w:rsidR="006E70F7" w:rsidRPr="001B0728">
        <w:t xml:space="preserve">A rooted, approximately-maximum-likelihood phylogenomic tree </w:t>
      </w:r>
      <w:r>
        <w:rPr>
          <w:noProof/>
          <w:szCs w:val="24"/>
        </w:rPr>
        <w:t xml:space="preserve">of all cyanobacterial metagenome assembled genomes (MAGs) from </w:t>
      </w:r>
      <w:r w:rsidR="00AC6E65">
        <w:rPr>
          <w:noProof/>
          <w:szCs w:val="24"/>
        </w:rPr>
        <w:t>this study</w:t>
      </w:r>
      <w:r>
        <w:rPr>
          <w:noProof/>
          <w:szCs w:val="24"/>
        </w:rPr>
        <w:t xml:space="preserve"> (in red) with</w:t>
      </w:r>
      <w:r w:rsidR="006E70F7">
        <w:rPr>
          <w:noProof/>
          <w:szCs w:val="24"/>
        </w:rPr>
        <w:t xml:space="preserve"> </w:t>
      </w:r>
      <w:r w:rsidR="006E70F7" w:rsidRPr="00E473B0">
        <w:rPr>
          <w:color w:val="1D1C1D"/>
          <w:szCs w:val="24"/>
          <w:shd w:val="clear" w:color="auto" w:fill="FFFFFF"/>
        </w:rPr>
        <w:t>GTDB species cluster</w:t>
      </w:r>
      <w:r w:rsidR="006E70F7">
        <w:rPr>
          <w:color w:val="1D1C1D"/>
          <w:szCs w:val="24"/>
          <w:shd w:val="clear" w:color="auto" w:fill="FFFFFF"/>
        </w:rPr>
        <w:t xml:space="preserve"> representative genome assemblies from the same three Cyanobacterial families</w:t>
      </w:r>
      <w:r>
        <w:rPr>
          <w:noProof/>
          <w:szCs w:val="24"/>
        </w:rPr>
        <w:t xml:space="preserve">. </w:t>
      </w:r>
      <w:r w:rsidR="006E70F7" w:rsidRPr="001B0728">
        <w:t xml:space="preserve">Numbers on each branch split refer to local support values calculated by </w:t>
      </w:r>
      <w:proofErr w:type="spellStart"/>
      <w:r w:rsidR="006E70F7" w:rsidRPr="001B0728">
        <w:t>FastTree</w:t>
      </w:r>
      <w:proofErr w:type="spellEnd"/>
      <w:r w:rsidR="006E70F7" w:rsidRPr="001B0728">
        <w:t xml:space="preserve">. </w:t>
      </w:r>
      <w:r w:rsidR="00140A59">
        <w:rPr>
          <w:color w:val="1D1C1D"/>
          <w:szCs w:val="24"/>
          <w:shd w:val="clear" w:color="auto" w:fill="FFFFFF"/>
        </w:rPr>
        <w:t>Five</w:t>
      </w:r>
      <w:r w:rsidR="006E70F7">
        <w:rPr>
          <w:color w:val="1D1C1D"/>
          <w:szCs w:val="24"/>
          <w:shd w:val="clear" w:color="auto" w:fill="FFFFFF"/>
        </w:rPr>
        <w:t xml:space="preserve"> members of the </w:t>
      </w:r>
      <w:proofErr w:type="spellStart"/>
      <w:r w:rsidR="006E70F7" w:rsidRPr="00E473B0">
        <w:rPr>
          <w:color w:val="1D1C1D"/>
          <w:szCs w:val="24"/>
          <w:shd w:val="clear" w:color="auto" w:fill="FFFFFF"/>
        </w:rPr>
        <w:t>Terrabacteria</w:t>
      </w:r>
      <w:proofErr w:type="spellEnd"/>
      <w:r w:rsidR="006E70F7">
        <w:rPr>
          <w:color w:val="1D1C1D"/>
          <w:szCs w:val="24"/>
          <w:shd w:val="clear" w:color="auto" w:fill="FFFFFF"/>
        </w:rPr>
        <w:t xml:space="preserve"> supergroup</w:t>
      </w:r>
      <w:r w:rsidR="00140A59">
        <w:rPr>
          <w:color w:val="1D1C1D"/>
          <w:szCs w:val="24"/>
          <w:shd w:val="clear" w:color="auto" w:fill="FFFFFF"/>
        </w:rPr>
        <w:t>, highlighted in blue</w:t>
      </w:r>
      <w:r w:rsidR="006E70F7">
        <w:rPr>
          <w:color w:val="1D1C1D"/>
          <w:szCs w:val="24"/>
          <w:shd w:val="clear" w:color="auto" w:fill="FFFFFF"/>
        </w:rPr>
        <w:t xml:space="preserve"> (</w:t>
      </w:r>
      <w:r w:rsidR="006E70F7" w:rsidRPr="003D6A40">
        <w:rPr>
          <w:i/>
          <w:iCs/>
          <w:color w:val="1D1C1D"/>
          <w:szCs w:val="24"/>
          <w:shd w:val="clear" w:color="auto" w:fill="FFFFFF"/>
        </w:rPr>
        <w:t xml:space="preserve">Streptomyces </w:t>
      </w:r>
      <w:proofErr w:type="spellStart"/>
      <w:r w:rsidR="006E70F7" w:rsidRPr="003D6A40">
        <w:rPr>
          <w:i/>
          <w:iCs/>
          <w:color w:val="1D1C1D"/>
          <w:szCs w:val="24"/>
          <w:shd w:val="clear" w:color="auto" w:fill="FFFFFF"/>
        </w:rPr>
        <w:t>coelicolor</w:t>
      </w:r>
      <w:proofErr w:type="spellEnd"/>
      <w:r w:rsidR="006E70F7">
        <w:rPr>
          <w:color w:val="1D1C1D"/>
          <w:szCs w:val="24"/>
          <w:shd w:val="clear" w:color="auto" w:fill="FFFFFF"/>
        </w:rPr>
        <w:t xml:space="preserve">, </w:t>
      </w:r>
      <w:r w:rsidR="006E70F7" w:rsidRPr="003D6A40">
        <w:rPr>
          <w:i/>
          <w:iCs/>
          <w:color w:val="1D1C1D"/>
          <w:szCs w:val="24"/>
          <w:shd w:val="clear" w:color="auto" w:fill="FFFFFF"/>
        </w:rPr>
        <w:t>Clostridium botulinum</w:t>
      </w:r>
      <w:r w:rsidR="006E70F7">
        <w:rPr>
          <w:color w:val="1D1C1D"/>
          <w:szCs w:val="24"/>
          <w:shd w:val="clear" w:color="auto" w:fill="FFFFFF"/>
        </w:rPr>
        <w:t xml:space="preserve">, </w:t>
      </w:r>
      <w:proofErr w:type="spellStart"/>
      <w:r w:rsidR="006E70F7" w:rsidRPr="003D6A40">
        <w:rPr>
          <w:i/>
          <w:iCs/>
          <w:color w:val="1D1C1D"/>
          <w:szCs w:val="24"/>
          <w:shd w:val="clear" w:color="auto" w:fill="FFFFFF"/>
        </w:rPr>
        <w:t>Chloroflexus</w:t>
      </w:r>
      <w:proofErr w:type="spellEnd"/>
      <w:r w:rsidR="006E70F7" w:rsidRPr="002016D9">
        <w:rPr>
          <w:color w:val="1D1C1D"/>
          <w:szCs w:val="24"/>
          <w:shd w:val="clear" w:color="auto" w:fill="FFFFFF"/>
        </w:rPr>
        <w:t xml:space="preserve"> </w:t>
      </w:r>
      <w:proofErr w:type="spellStart"/>
      <w:r w:rsidR="006E70F7" w:rsidRPr="003D6A40">
        <w:rPr>
          <w:i/>
          <w:iCs/>
          <w:color w:val="1D1C1D"/>
          <w:szCs w:val="24"/>
          <w:shd w:val="clear" w:color="auto" w:fill="FFFFFF"/>
        </w:rPr>
        <w:t>aurantiacus</w:t>
      </w:r>
      <w:proofErr w:type="spellEnd"/>
      <w:r w:rsidR="006E70F7">
        <w:rPr>
          <w:color w:val="1D1C1D"/>
          <w:szCs w:val="24"/>
          <w:shd w:val="clear" w:color="auto" w:fill="FFFFFF"/>
        </w:rPr>
        <w:t xml:space="preserve">, </w:t>
      </w:r>
      <w:proofErr w:type="spellStart"/>
      <w:r w:rsidR="00140A59">
        <w:rPr>
          <w:i/>
          <w:iCs/>
          <w:color w:val="1D1C1D"/>
          <w:szCs w:val="24"/>
          <w:shd w:val="clear" w:color="auto" w:fill="FFFFFF"/>
        </w:rPr>
        <w:t>Dehalococcoides</w:t>
      </w:r>
      <w:proofErr w:type="spellEnd"/>
      <w:r w:rsidR="00140A59">
        <w:rPr>
          <w:i/>
          <w:iCs/>
          <w:color w:val="1D1C1D"/>
          <w:szCs w:val="24"/>
          <w:shd w:val="clear" w:color="auto" w:fill="FFFFFF"/>
        </w:rPr>
        <w:t xml:space="preserve"> </w:t>
      </w:r>
      <w:proofErr w:type="spellStart"/>
      <w:r w:rsidR="00140A59">
        <w:rPr>
          <w:i/>
          <w:iCs/>
          <w:color w:val="1D1C1D"/>
          <w:szCs w:val="24"/>
          <w:shd w:val="clear" w:color="auto" w:fill="FFFFFF"/>
        </w:rPr>
        <w:t>mccartyi</w:t>
      </w:r>
      <w:proofErr w:type="spellEnd"/>
      <w:r w:rsidR="00140A59">
        <w:rPr>
          <w:color w:val="1D1C1D"/>
          <w:szCs w:val="24"/>
          <w:shd w:val="clear" w:color="auto" w:fill="FFFFFF"/>
        </w:rPr>
        <w:t>,</w:t>
      </w:r>
      <w:r w:rsidR="00140A59">
        <w:rPr>
          <w:i/>
          <w:iCs/>
          <w:color w:val="1D1C1D"/>
          <w:szCs w:val="24"/>
          <w:shd w:val="clear" w:color="auto" w:fill="FFFFFF"/>
        </w:rPr>
        <w:t xml:space="preserve"> </w:t>
      </w:r>
      <w:r w:rsidR="006E70F7">
        <w:rPr>
          <w:color w:val="1D1C1D"/>
          <w:szCs w:val="24"/>
          <w:shd w:val="clear" w:color="auto" w:fill="FFFFFF"/>
        </w:rPr>
        <w:t xml:space="preserve">and </w:t>
      </w:r>
      <w:proofErr w:type="spellStart"/>
      <w:r w:rsidR="006E70F7">
        <w:rPr>
          <w:i/>
          <w:iCs/>
          <w:color w:val="1D1C1D"/>
          <w:szCs w:val="24"/>
          <w:shd w:val="clear" w:color="auto" w:fill="FFFFFF"/>
        </w:rPr>
        <w:t>Meiothermus</w:t>
      </w:r>
      <w:proofErr w:type="spellEnd"/>
      <w:r w:rsidR="006E70F7">
        <w:rPr>
          <w:i/>
          <w:iCs/>
          <w:color w:val="1D1C1D"/>
          <w:szCs w:val="24"/>
          <w:shd w:val="clear" w:color="auto" w:fill="FFFFFF"/>
        </w:rPr>
        <w:t xml:space="preserve"> </w:t>
      </w:r>
      <w:proofErr w:type="spellStart"/>
      <w:r w:rsidR="006E70F7">
        <w:rPr>
          <w:i/>
          <w:iCs/>
          <w:color w:val="1D1C1D"/>
          <w:szCs w:val="24"/>
          <w:shd w:val="clear" w:color="auto" w:fill="FFFFFF"/>
        </w:rPr>
        <w:t>ruber</w:t>
      </w:r>
      <w:proofErr w:type="spellEnd"/>
      <w:r w:rsidR="006E70F7">
        <w:rPr>
          <w:color w:val="1D1C1D"/>
          <w:szCs w:val="24"/>
          <w:shd w:val="clear" w:color="auto" w:fill="FFFFFF"/>
        </w:rPr>
        <w:t>)</w:t>
      </w:r>
      <w:r w:rsidR="006E70F7" w:rsidRPr="00066492" w:rsidDel="00E473B0">
        <w:rPr>
          <w:i/>
          <w:iCs/>
          <w:color w:val="1D1C1D"/>
          <w:szCs w:val="24"/>
          <w:shd w:val="clear" w:color="auto" w:fill="FFFFFF"/>
        </w:rPr>
        <w:t xml:space="preserve"> </w:t>
      </w:r>
      <w:r w:rsidR="006E70F7">
        <w:rPr>
          <w:color w:val="1D1C1D"/>
          <w:szCs w:val="24"/>
          <w:shd w:val="clear" w:color="auto" w:fill="FFFFFF"/>
        </w:rPr>
        <w:t xml:space="preserve">were used </w:t>
      </w:r>
      <w:r w:rsidR="006E70F7" w:rsidRPr="00066492">
        <w:rPr>
          <w:color w:val="1D1C1D"/>
          <w:szCs w:val="24"/>
          <w:shd w:val="clear" w:color="auto" w:fill="FFFFFF"/>
        </w:rPr>
        <w:t>as the outgroup</w:t>
      </w:r>
      <w:r w:rsidR="006E70F7">
        <w:rPr>
          <w:color w:val="1D1C1D"/>
          <w:szCs w:val="24"/>
          <w:shd w:val="clear" w:color="auto" w:fill="FFFFFF"/>
        </w:rPr>
        <w:t>s</w:t>
      </w:r>
      <w:r w:rsidR="006E70F7" w:rsidRPr="00066492">
        <w:rPr>
          <w:color w:val="1D1C1D"/>
          <w:szCs w:val="24"/>
          <w:shd w:val="clear" w:color="auto" w:fill="FFFFFF"/>
        </w:rPr>
        <w:t xml:space="preserve"> to root the tree</w:t>
      </w:r>
      <w:r w:rsidR="006E70F7" w:rsidRPr="001B0728">
        <w:t>.</w:t>
      </w:r>
      <w:r w:rsidR="006E70F7">
        <w:t xml:space="preserve"> </w:t>
      </w:r>
      <w:r w:rsidR="006E70F7" w:rsidRPr="00126ADE">
        <w:t>Bar, 1 substitution per nucleotide position.</w:t>
      </w:r>
      <w:r w:rsidR="00727423">
        <w:rPr>
          <w:noProof/>
          <w:szCs w:val="24"/>
        </w:rPr>
        <w:br w:type="page"/>
      </w:r>
    </w:p>
    <w:p w14:paraId="5686294B" w14:textId="06C41D00" w:rsidR="00167A56" w:rsidRDefault="00167A56" w:rsidP="008E2782">
      <w:pPr>
        <w:ind w:firstLine="0"/>
        <w:jc w:val="center"/>
        <w:rPr>
          <w:szCs w:val="24"/>
        </w:rPr>
      </w:pPr>
      <w:r>
        <w:rPr>
          <w:noProof/>
          <w:szCs w:val="24"/>
        </w:rPr>
        <w:lastRenderedPageBreak/>
        <w:drawing>
          <wp:inline distT="0" distB="0" distL="0" distR="0" wp14:anchorId="2C994B77" wp14:editId="6C68DE1D">
            <wp:extent cx="6341423" cy="6252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3121" cy="6264359"/>
                    </a:xfrm>
                    <a:prstGeom prst="rect">
                      <a:avLst/>
                    </a:prstGeom>
                  </pic:spPr>
                </pic:pic>
              </a:graphicData>
            </a:graphic>
          </wp:inline>
        </w:drawing>
      </w:r>
    </w:p>
    <w:p w14:paraId="18852D4A" w14:textId="4A79B8D2" w:rsidR="00AD13C5" w:rsidRDefault="00167A56" w:rsidP="00634DB1">
      <w:pPr>
        <w:ind w:firstLine="0"/>
        <w:rPr>
          <w:szCs w:val="24"/>
        </w:rPr>
      </w:pPr>
      <w:r>
        <w:rPr>
          <w:b/>
          <w:bCs/>
          <w:szCs w:val="24"/>
        </w:rPr>
        <w:t xml:space="preserve">Supplementary Figure </w:t>
      </w:r>
      <w:r w:rsidR="003257CA">
        <w:rPr>
          <w:b/>
          <w:bCs/>
          <w:szCs w:val="24"/>
        </w:rPr>
        <w:t>9</w:t>
      </w:r>
      <w:r>
        <w:rPr>
          <w:b/>
          <w:bCs/>
          <w:szCs w:val="24"/>
        </w:rPr>
        <w:t xml:space="preserve"> </w:t>
      </w:r>
      <w:r w:rsidRPr="00E97AFA">
        <w:rPr>
          <w:szCs w:val="24"/>
        </w:rPr>
        <w:t xml:space="preserve">Exploring </w:t>
      </w:r>
      <w:r>
        <w:rPr>
          <w:szCs w:val="24"/>
        </w:rPr>
        <w:t xml:space="preserve">the common vs. site-specific microbes at these sites. </w:t>
      </w:r>
      <w:r w:rsidRPr="00E97AFA">
        <w:rPr>
          <w:szCs w:val="24"/>
        </w:rPr>
        <w:t>(</w:t>
      </w:r>
      <w:r>
        <w:rPr>
          <w:szCs w:val="24"/>
        </w:rPr>
        <w:t>A, B</w:t>
      </w:r>
      <w:r w:rsidRPr="00E97AFA">
        <w:rPr>
          <w:szCs w:val="24"/>
        </w:rPr>
        <w:t>) Venn diagram</w:t>
      </w:r>
      <w:r>
        <w:rPr>
          <w:szCs w:val="24"/>
        </w:rPr>
        <w:t>s</w:t>
      </w:r>
      <w:r w:rsidRPr="00E97AFA">
        <w:rPr>
          <w:szCs w:val="24"/>
        </w:rPr>
        <w:t xml:space="preserve"> comparing the number of </w:t>
      </w:r>
      <w:r>
        <w:rPr>
          <w:szCs w:val="24"/>
        </w:rPr>
        <w:t>(A) 16S rRNA gene sequence amplicon sequence variants (</w:t>
      </w:r>
      <w:r w:rsidRPr="00E97AFA">
        <w:rPr>
          <w:szCs w:val="24"/>
        </w:rPr>
        <w:t>ASVs</w:t>
      </w:r>
      <w:r>
        <w:rPr>
          <w:szCs w:val="24"/>
        </w:rPr>
        <w:t>)</w:t>
      </w:r>
      <w:r w:rsidRPr="00E97AFA">
        <w:rPr>
          <w:szCs w:val="24"/>
        </w:rPr>
        <w:t xml:space="preserve"> </w:t>
      </w:r>
      <w:r>
        <w:rPr>
          <w:szCs w:val="24"/>
        </w:rPr>
        <w:t xml:space="preserve">or (B) metagenome assembled genomes (MAGs) </w:t>
      </w:r>
      <w:r w:rsidRPr="00E97AFA">
        <w:rPr>
          <w:szCs w:val="24"/>
        </w:rPr>
        <w:t>unique or shared between different sites</w:t>
      </w:r>
      <w:r>
        <w:rPr>
          <w:szCs w:val="24"/>
        </w:rPr>
        <w:t xml:space="preserve">, </w:t>
      </w:r>
      <w:proofErr w:type="spellStart"/>
      <w:r>
        <w:rPr>
          <w:szCs w:val="24"/>
        </w:rPr>
        <w:t>colored</w:t>
      </w:r>
      <w:proofErr w:type="spellEnd"/>
      <w:r>
        <w:rPr>
          <w:szCs w:val="24"/>
        </w:rPr>
        <w:t xml:space="preserve"> by the combined relative abundance of species in each section</w:t>
      </w:r>
      <w:r w:rsidRPr="00E97AFA">
        <w:rPr>
          <w:szCs w:val="24"/>
        </w:rPr>
        <w:t>.</w:t>
      </w:r>
      <w:r>
        <w:rPr>
          <w:szCs w:val="24"/>
        </w:rPr>
        <w:t xml:space="preserve"> (C-K) The count (C, F, I), </w:t>
      </w:r>
      <w:r w:rsidR="00026216">
        <w:rPr>
          <w:szCs w:val="24"/>
        </w:rPr>
        <w:t>median</w:t>
      </w:r>
      <w:r>
        <w:rPr>
          <w:szCs w:val="24"/>
        </w:rPr>
        <w:t xml:space="preserve"> relative abundance (D, G, J), or standard deviation of relative abundance (E, H, K) of the number of (C-H) ASVs occupying different numbers of (C-E) samples or (F-H) sites, or (I-K) MAGs occupying different numbers of sites.</w:t>
      </w:r>
    </w:p>
    <w:p w14:paraId="4691929A" w14:textId="77777777" w:rsidR="00AD13C5" w:rsidRDefault="00AD13C5">
      <w:pPr>
        <w:spacing w:after="160" w:line="259" w:lineRule="auto"/>
        <w:ind w:firstLine="0"/>
        <w:rPr>
          <w:szCs w:val="24"/>
        </w:rPr>
      </w:pPr>
      <w:r>
        <w:rPr>
          <w:szCs w:val="24"/>
        </w:rPr>
        <w:br w:type="page"/>
      </w:r>
    </w:p>
    <w:p w14:paraId="2A6653BA" w14:textId="63BADE1C" w:rsidR="00836446" w:rsidRDefault="00AD13C5" w:rsidP="00AD13C5">
      <w:pPr>
        <w:ind w:firstLine="0"/>
        <w:jc w:val="center"/>
        <w:rPr>
          <w:szCs w:val="24"/>
        </w:rPr>
      </w:pPr>
      <w:r>
        <w:rPr>
          <w:noProof/>
          <w:szCs w:val="24"/>
        </w:rPr>
        <w:lastRenderedPageBreak/>
        <w:drawing>
          <wp:inline distT="0" distB="0" distL="0" distR="0" wp14:anchorId="12E7CE1D" wp14:editId="50CEE601">
            <wp:extent cx="5108910" cy="9206802"/>
            <wp:effectExtent l="0" t="0" r="0" b="0"/>
            <wp:docPr id="191488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83383"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8910" cy="9206802"/>
                    </a:xfrm>
                    <a:prstGeom prst="rect">
                      <a:avLst/>
                    </a:prstGeom>
                  </pic:spPr>
                </pic:pic>
              </a:graphicData>
            </a:graphic>
          </wp:inline>
        </w:drawing>
      </w:r>
    </w:p>
    <w:p w14:paraId="5922D816" w14:textId="339999AD" w:rsidR="00836446" w:rsidRDefault="00AD13C5" w:rsidP="00417A6F">
      <w:pPr>
        <w:ind w:firstLine="0"/>
        <w:rPr>
          <w:szCs w:val="24"/>
        </w:rPr>
      </w:pPr>
      <w:r w:rsidRPr="00FA119C">
        <w:rPr>
          <w:b/>
          <w:bCs/>
          <w:szCs w:val="24"/>
        </w:rPr>
        <w:lastRenderedPageBreak/>
        <w:t xml:space="preserve">Supplementary Figure </w:t>
      </w:r>
      <w:r w:rsidR="007641D3" w:rsidRPr="00FA119C">
        <w:rPr>
          <w:b/>
          <w:bCs/>
          <w:szCs w:val="24"/>
        </w:rPr>
        <w:t>1</w:t>
      </w:r>
      <w:r w:rsidR="003257CA">
        <w:rPr>
          <w:b/>
          <w:bCs/>
          <w:szCs w:val="24"/>
        </w:rPr>
        <w:t>0</w:t>
      </w:r>
      <w:r w:rsidRPr="00FA119C">
        <w:rPr>
          <w:b/>
          <w:bCs/>
          <w:szCs w:val="24"/>
        </w:rPr>
        <w:t xml:space="preserve"> </w:t>
      </w:r>
      <w:bookmarkStart w:id="0" w:name="_Hlk182920330"/>
      <w:r w:rsidR="00FA119C">
        <w:rPr>
          <w:szCs w:val="24"/>
        </w:rPr>
        <w:t xml:space="preserve">(A) </w:t>
      </w:r>
      <w:bookmarkStart w:id="1" w:name="_Hlk182920214"/>
      <w:r w:rsidR="00E570F4">
        <w:rPr>
          <w:szCs w:val="24"/>
        </w:rPr>
        <w:t>Null model</w:t>
      </w:r>
      <w:r w:rsidR="00FA119C">
        <w:rPr>
          <w:szCs w:val="24"/>
        </w:rPr>
        <w:t xml:space="preserve"> distribution of Levin’s niche breadth (</w:t>
      </w:r>
      <w:r w:rsidR="00FA119C">
        <w:rPr>
          <w:i/>
          <w:iCs/>
          <w:szCs w:val="24"/>
        </w:rPr>
        <w:t>B</w:t>
      </w:r>
      <w:r w:rsidR="00FA119C">
        <w:rPr>
          <w:i/>
          <w:iCs/>
          <w:szCs w:val="24"/>
          <w:vertAlign w:val="subscript"/>
        </w:rPr>
        <w:t>N</w:t>
      </w:r>
      <w:r w:rsidR="00FA119C">
        <w:rPr>
          <w:szCs w:val="24"/>
        </w:rPr>
        <w:t xml:space="preserve">) produced </w:t>
      </w:r>
      <w:r w:rsidR="00E570F4">
        <w:rPr>
          <w:szCs w:val="24"/>
        </w:rPr>
        <w:t xml:space="preserve">based on the input parameters </w:t>
      </w:r>
      <w:r w:rsidR="00FA119C">
        <w:rPr>
          <w:szCs w:val="24"/>
        </w:rPr>
        <w:t xml:space="preserve">as part of running the </w:t>
      </w:r>
      <w:proofErr w:type="spellStart"/>
      <w:r w:rsidR="00FA119C">
        <w:rPr>
          <w:szCs w:val="24"/>
        </w:rPr>
        <w:t>MicroNiche</w:t>
      </w:r>
      <w:proofErr w:type="spellEnd"/>
      <w:r w:rsidR="00FA119C">
        <w:rPr>
          <w:szCs w:val="24"/>
        </w:rPr>
        <w:t xml:space="preserve"> R package.</w:t>
      </w:r>
      <w:r w:rsidR="00E570F4">
        <w:rPr>
          <w:szCs w:val="24"/>
        </w:rPr>
        <w:t xml:space="preserve"> The red lines indicate the 0.05 and 0.95 quantiles; below 0.05 quantile (in this case, a niche breadth score below 0.53) indicates a specialist (significantly lower than the null model expectation, </w:t>
      </w:r>
      <w:r w:rsidR="00E570F4">
        <w:rPr>
          <w:i/>
          <w:iCs/>
          <w:szCs w:val="24"/>
        </w:rPr>
        <w:t>p</w:t>
      </w:r>
      <w:r w:rsidR="00E570F4">
        <w:rPr>
          <w:szCs w:val="24"/>
        </w:rPr>
        <w:t xml:space="preserve"> ≤ 0.05) and above 0.95 quantile (in this case, a niche breadth score above 0.96) indicates a generalist (significantly greater than the null model expectation, </w:t>
      </w:r>
      <w:r w:rsidR="00E570F4">
        <w:rPr>
          <w:i/>
          <w:iCs/>
          <w:szCs w:val="24"/>
        </w:rPr>
        <w:t xml:space="preserve">p </w:t>
      </w:r>
      <w:r w:rsidR="00E570F4">
        <w:rPr>
          <w:szCs w:val="24"/>
        </w:rPr>
        <w:t>≤ 0.05).</w:t>
      </w:r>
      <w:r w:rsidR="00FA119C">
        <w:rPr>
          <w:szCs w:val="24"/>
        </w:rPr>
        <w:t xml:space="preserve"> </w:t>
      </w:r>
      <w:bookmarkEnd w:id="1"/>
      <w:r w:rsidR="00FA119C">
        <w:rPr>
          <w:szCs w:val="24"/>
        </w:rPr>
        <w:t xml:space="preserve">(B) Frequency plots identifying the number of either specialists or generalists using </w:t>
      </w:r>
      <w:r w:rsidR="00FA119C">
        <w:rPr>
          <w:i/>
          <w:iCs/>
          <w:szCs w:val="24"/>
        </w:rPr>
        <w:t>B</w:t>
      </w:r>
      <w:r w:rsidR="00FA119C">
        <w:rPr>
          <w:i/>
          <w:iCs/>
          <w:szCs w:val="24"/>
          <w:vertAlign w:val="subscript"/>
        </w:rPr>
        <w:t>N</w:t>
      </w:r>
      <w:r w:rsidR="00FA119C">
        <w:rPr>
          <w:i/>
          <w:iCs/>
          <w:szCs w:val="24"/>
        </w:rPr>
        <w:t xml:space="preserve"> </w:t>
      </w:r>
      <w:r w:rsidR="00417A6F">
        <w:rPr>
          <w:szCs w:val="24"/>
        </w:rPr>
        <w:t>on our 16S rRNA gene sequence data set, restricted to samples with a temperature above 35℃.</w:t>
      </w:r>
      <w:r w:rsidR="00E570F4">
        <w:rPr>
          <w:szCs w:val="24"/>
        </w:rPr>
        <w:t xml:space="preserve"> The red dashed lines again indicate the same 0.05 and 0.95 quantiles from the null model.</w:t>
      </w:r>
      <w:r w:rsidR="00417A6F">
        <w:rPr>
          <w:szCs w:val="24"/>
        </w:rPr>
        <w:t xml:space="preserve"> </w:t>
      </w:r>
      <w:bookmarkEnd w:id="0"/>
      <w:r w:rsidR="00417A6F">
        <w:rPr>
          <w:szCs w:val="24"/>
        </w:rPr>
        <w:t xml:space="preserve">(C-D) Social niche breadth (SNB) scores across different taxonomic levels in our data set. </w:t>
      </w:r>
      <w:r w:rsidR="00417A6F" w:rsidRPr="00FA119C">
        <w:rPr>
          <w:szCs w:val="24"/>
        </w:rPr>
        <w:t>No Species level is given since the SNB calculations failed, given the large number of ASVs in our data set that were unassigned at the species level.</w:t>
      </w:r>
      <w:r w:rsidR="00417A6F">
        <w:rPr>
          <w:szCs w:val="24"/>
        </w:rPr>
        <w:t xml:space="preserve"> (E) </w:t>
      </w:r>
      <w:r w:rsidR="00667496">
        <w:rPr>
          <w:szCs w:val="24"/>
        </w:rPr>
        <w:t>P</w:t>
      </w:r>
      <w:r w:rsidR="00417A6F">
        <w:rPr>
          <w:szCs w:val="24"/>
        </w:rPr>
        <w:t>lots showing the relationship between relative abundance and either temperature</w:t>
      </w:r>
      <w:r w:rsidR="00667496">
        <w:rPr>
          <w:szCs w:val="24"/>
        </w:rPr>
        <w:t xml:space="preserve">, </w:t>
      </w:r>
      <w:r w:rsidR="00417A6F">
        <w:rPr>
          <w:szCs w:val="24"/>
        </w:rPr>
        <w:t>pH</w:t>
      </w:r>
      <w:r w:rsidR="00667496">
        <w:rPr>
          <w:szCs w:val="24"/>
        </w:rPr>
        <w:t>, or site</w:t>
      </w:r>
      <w:r w:rsidR="00417A6F">
        <w:rPr>
          <w:szCs w:val="24"/>
        </w:rPr>
        <w:t xml:space="preserve"> for either specialist or generalist ASVs based on variance across temperature and pH values, calculated using Hulbert’s niche breadth. </w:t>
      </w:r>
      <w:r w:rsidR="00D82EB8">
        <w:rPr>
          <w:szCs w:val="24"/>
        </w:rPr>
        <w:t xml:space="preserve">ASV_5 did not qualify as a generalist for </w:t>
      </w:r>
      <w:proofErr w:type="spellStart"/>
      <w:r w:rsidR="00D82EB8">
        <w:rPr>
          <w:szCs w:val="24"/>
        </w:rPr>
        <w:t>pH.</w:t>
      </w:r>
      <w:proofErr w:type="spellEnd"/>
      <w:r w:rsidR="00D82EB8">
        <w:rPr>
          <w:szCs w:val="24"/>
        </w:rPr>
        <w:t xml:space="preserve"> </w:t>
      </w:r>
      <w:r w:rsidR="00417A6F">
        <w:rPr>
          <w:szCs w:val="24"/>
        </w:rPr>
        <w:t>The phylum and genus (if classifiable) are given for each ASV along with the ASV number.</w:t>
      </w:r>
      <w:r w:rsidR="00667496">
        <w:rPr>
          <w:szCs w:val="24"/>
        </w:rPr>
        <w:t xml:space="preserve"> Specialist ASVs are highlighted in red, generalists in blue.</w:t>
      </w:r>
    </w:p>
    <w:p w14:paraId="20C4061B" w14:textId="6AC076BA" w:rsidR="00167A56" w:rsidRDefault="00DD1FD8" w:rsidP="00634DB1">
      <w:pPr>
        <w:ind w:firstLine="0"/>
        <w:rPr>
          <w:szCs w:val="24"/>
        </w:rPr>
      </w:pPr>
      <w:r>
        <w:rPr>
          <w:noProof/>
          <w:szCs w:val="24"/>
        </w:rPr>
        <w:lastRenderedPageBreak/>
        <w:drawing>
          <wp:inline distT="0" distB="0" distL="0" distR="0" wp14:anchorId="74979F93" wp14:editId="7A438779">
            <wp:extent cx="6302403" cy="9074777"/>
            <wp:effectExtent l="0" t="0" r="3175" b="0"/>
            <wp:docPr id="840869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9622"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2403" cy="9074777"/>
                    </a:xfrm>
                    <a:prstGeom prst="rect">
                      <a:avLst/>
                    </a:prstGeom>
                  </pic:spPr>
                </pic:pic>
              </a:graphicData>
            </a:graphic>
          </wp:inline>
        </w:drawing>
      </w:r>
    </w:p>
    <w:p w14:paraId="588C9726" w14:textId="62B3AC53" w:rsidR="00836446" w:rsidRPr="00AB4F33" w:rsidRDefault="00836446" w:rsidP="00634DB1">
      <w:pPr>
        <w:ind w:firstLine="0"/>
        <w:rPr>
          <w:szCs w:val="24"/>
        </w:rPr>
      </w:pPr>
      <w:r>
        <w:rPr>
          <w:b/>
          <w:bCs/>
          <w:szCs w:val="24"/>
        </w:rPr>
        <w:t xml:space="preserve">Supplementary Figure </w:t>
      </w:r>
      <w:r w:rsidR="00F46DF3">
        <w:rPr>
          <w:b/>
          <w:bCs/>
          <w:szCs w:val="24"/>
        </w:rPr>
        <w:t>1</w:t>
      </w:r>
      <w:r w:rsidR="003257CA">
        <w:rPr>
          <w:b/>
          <w:bCs/>
          <w:szCs w:val="24"/>
        </w:rPr>
        <w:t>1</w:t>
      </w:r>
      <w:r>
        <w:rPr>
          <w:b/>
          <w:bCs/>
          <w:szCs w:val="24"/>
        </w:rPr>
        <w:t xml:space="preserve"> </w:t>
      </w:r>
      <w:r w:rsidR="00AB4F33">
        <w:rPr>
          <w:szCs w:val="24"/>
        </w:rPr>
        <w:t>Comparison of genome characteristics between MAGs with different site occupancy patterns</w:t>
      </w:r>
      <w:r w:rsidR="00DD1FD8">
        <w:rPr>
          <w:szCs w:val="24"/>
        </w:rPr>
        <w:t>. No differences in any plots were significant (ANOVA, two-tailed).</w:t>
      </w:r>
      <w:r w:rsidR="00E84390">
        <w:rPr>
          <w:szCs w:val="24"/>
        </w:rPr>
        <w:t xml:space="preserve"> Ritt: Rittmann; TR: Erebus – Tramway </w:t>
      </w:r>
      <w:r w:rsidR="00E84390">
        <w:rPr>
          <w:szCs w:val="24"/>
        </w:rPr>
        <w:lastRenderedPageBreak/>
        <w:t>Ridge; WC: Erebus – Western Crater; Mel: Melbourne. The number in front of the x-axis label in (B) represents the number of sites occupied by MAGs in that category.</w:t>
      </w:r>
      <w:r w:rsidR="00934073">
        <w:rPr>
          <w:szCs w:val="24"/>
        </w:rPr>
        <w:t xml:space="preserve"> (C) </w:t>
      </w:r>
      <w:r w:rsidR="00365EC5">
        <w:rPr>
          <w:szCs w:val="24"/>
        </w:rPr>
        <w:t>Heatmap showing functional predictions for MAGs based on METABOLIC predictions, separated by site occupancy (restricted to one type of site, active or passive, or found in both types of sites) and whether the metabolic predictions are categories (containing multiple, non-sequential metabolic reactions) or pathways.</w:t>
      </w:r>
      <w:r w:rsidR="00227F86">
        <w:rPr>
          <w:szCs w:val="24"/>
        </w:rPr>
        <w:t xml:space="preserve"> Pink boxes differentiate different site occupancy patterns. X-axis MAGs are clustered first by site occupancy pattern, then by Phylum-Class. TR: Tramway Ridge. WC: Western Crater. RT: Rittmann. ML: Melbourne.</w:t>
      </w:r>
    </w:p>
    <w:sectPr w:rsidR="00836446" w:rsidRPr="00AB4F33" w:rsidSect="005217E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0MDYxMTIwMDMwMjBV0lEKTi0uzszPAykwMqgFAESVsXItAAAA"/>
  </w:docVars>
  <w:rsids>
    <w:rsidRoot w:val="00634DB1"/>
    <w:rsid w:val="00006E91"/>
    <w:rsid w:val="0001494D"/>
    <w:rsid w:val="00026216"/>
    <w:rsid w:val="00026372"/>
    <w:rsid w:val="000354D9"/>
    <w:rsid w:val="0005582C"/>
    <w:rsid w:val="00071A9C"/>
    <w:rsid w:val="00085917"/>
    <w:rsid w:val="000A20E5"/>
    <w:rsid w:val="000C1E65"/>
    <w:rsid w:val="00122E2C"/>
    <w:rsid w:val="00140A59"/>
    <w:rsid w:val="0015388B"/>
    <w:rsid w:val="00153E2E"/>
    <w:rsid w:val="00164EF6"/>
    <w:rsid w:val="00167A56"/>
    <w:rsid w:val="001D7C4B"/>
    <w:rsid w:val="00227F86"/>
    <w:rsid w:val="002D1D0C"/>
    <w:rsid w:val="00307DD3"/>
    <w:rsid w:val="003257CA"/>
    <w:rsid w:val="00352824"/>
    <w:rsid w:val="00365EC5"/>
    <w:rsid w:val="003B6F58"/>
    <w:rsid w:val="00417A6F"/>
    <w:rsid w:val="00421AB8"/>
    <w:rsid w:val="00424C88"/>
    <w:rsid w:val="00450F1C"/>
    <w:rsid w:val="00456F08"/>
    <w:rsid w:val="004755BE"/>
    <w:rsid w:val="004A1E7F"/>
    <w:rsid w:val="004A6B6D"/>
    <w:rsid w:val="00502BCE"/>
    <w:rsid w:val="005115C6"/>
    <w:rsid w:val="005217EF"/>
    <w:rsid w:val="00531C73"/>
    <w:rsid w:val="005B4F55"/>
    <w:rsid w:val="005C7435"/>
    <w:rsid w:val="0061307A"/>
    <w:rsid w:val="00634DB1"/>
    <w:rsid w:val="00667496"/>
    <w:rsid w:val="006B1EA5"/>
    <w:rsid w:val="006B7A43"/>
    <w:rsid w:val="006E70F7"/>
    <w:rsid w:val="00727423"/>
    <w:rsid w:val="007641D3"/>
    <w:rsid w:val="0077677A"/>
    <w:rsid w:val="007A3646"/>
    <w:rsid w:val="0081584D"/>
    <w:rsid w:val="00836446"/>
    <w:rsid w:val="008432BB"/>
    <w:rsid w:val="00863A07"/>
    <w:rsid w:val="00887341"/>
    <w:rsid w:val="008E2782"/>
    <w:rsid w:val="00934073"/>
    <w:rsid w:val="00942049"/>
    <w:rsid w:val="009A6B9A"/>
    <w:rsid w:val="00A02672"/>
    <w:rsid w:val="00A65936"/>
    <w:rsid w:val="00A823EE"/>
    <w:rsid w:val="00AB4F33"/>
    <w:rsid w:val="00AC6E65"/>
    <w:rsid w:val="00AD13C5"/>
    <w:rsid w:val="00AD1782"/>
    <w:rsid w:val="00B16A66"/>
    <w:rsid w:val="00B1722C"/>
    <w:rsid w:val="00B4127E"/>
    <w:rsid w:val="00BD37FF"/>
    <w:rsid w:val="00C026C2"/>
    <w:rsid w:val="00C2300E"/>
    <w:rsid w:val="00C67738"/>
    <w:rsid w:val="00C8260E"/>
    <w:rsid w:val="00C95283"/>
    <w:rsid w:val="00CB2552"/>
    <w:rsid w:val="00D10398"/>
    <w:rsid w:val="00D50461"/>
    <w:rsid w:val="00D82EB8"/>
    <w:rsid w:val="00DA0410"/>
    <w:rsid w:val="00DA2C56"/>
    <w:rsid w:val="00DD1FD8"/>
    <w:rsid w:val="00E12F44"/>
    <w:rsid w:val="00E570F4"/>
    <w:rsid w:val="00E77651"/>
    <w:rsid w:val="00E84390"/>
    <w:rsid w:val="00E86D4F"/>
    <w:rsid w:val="00E91A6E"/>
    <w:rsid w:val="00F40A17"/>
    <w:rsid w:val="00F46DF3"/>
    <w:rsid w:val="00FA119C"/>
    <w:rsid w:val="00FE56A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5761A"/>
  <w15:chartTrackingRefBased/>
  <w15:docId w15:val="{B86B12DE-8B02-4F1F-BBEA-7137C07A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7CA"/>
    <w:pPr>
      <w:spacing w:after="0" w:line="480" w:lineRule="auto"/>
      <w:ind w:firstLine="720"/>
    </w:pPr>
    <w:rPr>
      <w:rFonts w:ascii="Times New Roman" w:eastAsiaTheme="minorEastAsia" w:hAnsi="Times New Roman" w:cs="Times New Roman"/>
      <w:lang w:eastAsia="en-NZ"/>
    </w:rPr>
  </w:style>
  <w:style w:type="paragraph" w:styleId="Heading1">
    <w:name w:val="heading 1"/>
    <w:basedOn w:val="Normal"/>
    <w:next w:val="Normal"/>
    <w:link w:val="Heading1Char"/>
    <w:autoRedefine/>
    <w:uiPriority w:val="9"/>
    <w:qFormat/>
    <w:rsid w:val="00456F08"/>
    <w:pPr>
      <w:keepNext/>
      <w:keepLines/>
      <w:ind w:firstLine="0"/>
      <w:outlineLvl w:val="0"/>
    </w:pPr>
    <w:rPr>
      <w:rFonts w:eastAsiaTheme="majorEastAsia" w:cstheme="majorBidi"/>
      <w:b/>
      <w:szCs w:val="32"/>
      <w:lang w:eastAsia="en-US"/>
    </w:rPr>
  </w:style>
  <w:style w:type="paragraph" w:styleId="Heading2">
    <w:name w:val="heading 2"/>
    <w:basedOn w:val="Normal"/>
    <w:next w:val="Normal"/>
    <w:link w:val="Heading2Char"/>
    <w:autoRedefine/>
    <w:uiPriority w:val="9"/>
    <w:unhideWhenUsed/>
    <w:qFormat/>
    <w:rsid w:val="00456F08"/>
    <w:pPr>
      <w:keepNext/>
      <w:keepLines/>
      <w:ind w:firstLine="0"/>
      <w:outlineLvl w:val="1"/>
    </w:pPr>
    <w:rPr>
      <w:rFonts w:eastAsiaTheme="majorEastAsia" w:cstheme="majorBidi"/>
      <w:i/>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F08"/>
    <w:rPr>
      <w:rFonts w:ascii="Times New Roman" w:eastAsiaTheme="majorEastAsia" w:hAnsi="Times New Roman" w:cstheme="majorBidi"/>
      <w:b/>
      <w:szCs w:val="32"/>
    </w:rPr>
  </w:style>
  <w:style w:type="character" w:customStyle="1" w:styleId="Heading2Char">
    <w:name w:val="Heading 2 Char"/>
    <w:basedOn w:val="DefaultParagraphFont"/>
    <w:link w:val="Heading2"/>
    <w:uiPriority w:val="9"/>
    <w:rsid w:val="00456F08"/>
    <w:rPr>
      <w:rFonts w:ascii="Times New Roman" w:eastAsiaTheme="majorEastAsia" w:hAnsi="Times New Roman" w:cstheme="majorBidi"/>
      <w:i/>
      <w:szCs w:val="26"/>
    </w:rPr>
  </w:style>
  <w:style w:type="character" w:styleId="Hyperlink">
    <w:name w:val="Hyperlink"/>
    <w:basedOn w:val="DefaultParagraphFont"/>
    <w:uiPriority w:val="99"/>
    <w:semiHidden/>
    <w:unhideWhenUsed/>
    <w:rsid w:val="00634DB1"/>
    <w:rPr>
      <w:color w:val="0563C1"/>
      <w:u w:val="single"/>
    </w:rPr>
  </w:style>
  <w:style w:type="character" w:styleId="FollowedHyperlink">
    <w:name w:val="FollowedHyperlink"/>
    <w:basedOn w:val="DefaultParagraphFont"/>
    <w:uiPriority w:val="99"/>
    <w:semiHidden/>
    <w:unhideWhenUsed/>
    <w:rsid w:val="00634DB1"/>
    <w:rPr>
      <w:color w:val="954F72"/>
      <w:u w:val="single"/>
    </w:rPr>
  </w:style>
  <w:style w:type="paragraph" w:customStyle="1" w:styleId="msonormal0">
    <w:name w:val="msonormal"/>
    <w:basedOn w:val="Normal"/>
    <w:rsid w:val="00634DB1"/>
    <w:pPr>
      <w:spacing w:before="100" w:beforeAutospacing="1" w:after="100" w:afterAutospacing="1" w:line="240" w:lineRule="auto"/>
      <w:ind w:firstLine="0"/>
    </w:pPr>
    <w:rPr>
      <w:rFonts w:eastAsia="Times New Roman"/>
      <w:sz w:val="24"/>
      <w:szCs w:val="24"/>
    </w:rPr>
  </w:style>
  <w:style w:type="character" w:styleId="CommentReference">
    <w:name w:val="annotation reference"/>
    <w:basedOn w:val="DefaultParagraphFont"/>
    <w:uiPriority w:val="99"/>
    <w:semiHidden/>
    <w:unhideWhenUsed/>
    <w:rsid w:val="0061307A"/>
    <w:rPr>
      <w:sz w:val="16"/>
      <w:szCs w:val="16"/>
    </w:rPr>
  </w:style>
  <w:style w:type="paragraph" w:styleId="CommentText">
    <w:name w:val="annotation text"/>
    <w:basedOn w:val="Normal"/>
    <w:link w:val="CommentTextChar"/>
    <w:uiPriority w:val="99"/>
    <w:semiHidden/>
    <w:unhideWhenUsed/>
    <w:rsid w:val="0061307A"/>
    <w:pPr>
      <w:spacing w:line="240" w:lineRule="auto"/>
    </w:pPr>
    <w:rPr>
      <w:sz w:val="20"/>
      <w:szCs w:val="20"/>
    </w:rPr>
  </w:style>
  <w:style w:type="character" w:customStyle="1" w:styleId="CommentTextChar">
    <w:name w:val="Comment Text Char"/>
    <w:basedOn w:val="DefaultParagraphFont"/>
    <w:link w:val="CommentText"/>
    <w:uiPriority w:val="99"/>
    <w:semiHidden/>
    <w:rsid w:val="0061307A"/>
    <w:rPr>
      <w:rFonts w:ascii="Times New Roman" w:eastAsiaTheme="minorEastAsia" w:hAnsi="Times New Roman" w:cs="Times New Roman"/>
      <w:sz w:val="20"/>
      <w:szCs w:val="20"/>
      <w:lang w:eastAsia="en-NZ"/>
    </w:rPr>
  </w:style>
  <w:style w:type="paragraph" w:styleId="CommentSubject">
    <w:name w:val="annotation subject"/>
    <w:basedOn w:val="CommentText"/>
    <w:next w:val="CommentText"/>
    <w:link w:val="CommentSubjectChar"/>
    <w:uiPriority w:val="99"/>
    <w:semiHidden/>
    <w:unhideWhenUsed/>
    <w:rsid w:val="0061307A"/>
    <w:rPr>
      <w:b/>
      <w:bCs/>
    </w:rPr>
  </w:style>
  <w:style w:type="character" w:customStyle="1" w:styleId="CommentSubjectChar">
    <w:name w:val="Comment Subject Char"/>
    <w:basedOn w:val="CommentTextChar"/>
    <w:link w:val="CommentSubject"/>
    <w:uiPriority w:val="99"/>
    <w:semiHidden/>
    <w:rsid w:val="0061307A"/>
    <w:rPr>
      <w:rFonts w:ascii="Times New Roman" w:eastAsiaTheme="minorEastAsia" w:hAnsi="Times New Roman" w:cs="Times New Roman"/>
      <w:b/>
      <w:bCs/>
      <w:sz w:val="20"/>
      <w:szCs w:val="20"/>
      <w:lang w:eastAsia="en-NZ"/>
    </w:rPr>
  </w:style>
  <w:style w:type="paragraph" w:styleId="Revision">
    <w:name w:val="Revision"/>
    <w:hidden/>
    <w:uiPriority w:val="99"/>
    <w:semiHidden/>
    <w:rsid w:val="00026372"/>
    <w:pPr>
      <w:spacing w:after="0" w:line="240" w:lineRule="auto"/>
    </w:pPr>
    <w:rPr>
      <w:rFonts w:ascii="Times New Roman" w:eastAsiaTheme="minorEastAsia" w:hAnsi="Times New Roman" w:cs="Times New Roman"/>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5651286">
      <w:bodyDiv w:val="1"/>
      <w:marLeft w:val="0"/>
      <w:marRight w:val="0"/>
      <w:marTop w:val="0"/>
      <w:marBottom w:val="0"/>
      <w:divBdr>
        <w:top w:val="none" w:sz="0" w:space="0" w:color="auto"/>
        <w:left w:val="none" w:sz="0" w:space="0" w:color="auto"/>
        <w:bottom w:val="none" w:sz="0" w:space="0" w:color="auto"/>
        <w:right w:val="none" w:sz="0" w:space="0" w:color="auto"/>
      </w:divBdr>
    </w:div>
    <w:div w:id="140471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7D3A7-94D6-4577-BCE3-FA854207F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1236</Words>
  <Characters>7050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Noell</dc:creator>
  <cp:keywords/>
  <dc:description/>
  <cp:lastModifiedBy>Stephen Noell</cp:lastModifiedBy>
  <cp:revision>3</cp:revision>
  <dcterms:created xsi:type="dcterms:W3CDTF">2024-11-19T01:28:00Z</dcterms:created>
  <dcterms:modified xsi:type="dcterms:W3CDTF">2024-11-19T03:59:00Z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772e853f-2bfa-3d00-a587-88711e703ce6</vt:lpwstr>
  </property>
</Properties>
</file>